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sz w:val="36"/>
          <w:szCs w:val="36"/>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14B (Service Levels and Balanced Scorecard)</w:t>
      </w:r>
      <w:r w:rsidDel="00000000" w:rsidR="00000000" w:rsidRPr="00000000">
        <w:rPr>
          <w:rtl w:val="0"/>
        </w:rPr>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985" w:right="0" w:hanging="1985"/>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SECTION 1 </w:t>
        <w:tab/>
        <w:t xml:space="preserve">SERVICE LEVELS</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Section 1 of this Schedule, the following words shall have the following meanings and they shall supplement Joint Schedule 1 (Definitions):</w:t>
      </w:r>
    </w:p>
    <w:tbl>
      <w:tblPr>
        <w:tblStyle w:val="Table1"/>
        <w:tblW w:w="8963.0" w:type="dxa"/>
        <w:jc w:val="left"/>
        <w:tblInd w:w="1418.0" w:type="dxa"/>
        <w:tblLayout w:type="fixed"/>
        <w:tblLook w:val="0400"/>
      </w:tblPr>
      <w:tblGrid>
        <w:gridCol w:w="3010"/>
        <w:gridCol w:w="5953"/>
        <w:tblGridChange w:id="0">
          <w:tblGrid>
            <w:gridCol w:w="3010"/>
            <w:gridCol w:w="5953"/>
          </w:tblGrid>
        </w:tblGridChange>
      </w:tblGrid>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tc>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w:t>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 the Buyer shall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1A">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Service Levels </w:t>
      </w:r>
    </w:p>
    <w:p w:rsidR="00000000" w:rsidDel="00000000" w:rsidP="00000000" w:rsidRDefault="00000000" w:rsidRPr="00000000" w14:paraId="0000001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1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1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2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2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and/or</w:t>
      </w:r>
    </w:p>
    <w:p w:rsidR="00000000" w:rsidDel="00000000" w:rsidP="00000000" w:rsidRDefault="00000000" w:rsidRPr="00000000" w14:paraId="0000002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2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redress for failure to provide Services at or above Service Levels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18" w:right="0" w:hanging="77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t>
        <w:tab/>
        <w:t xml:space="preserve">The Buyer may ask for a Rectification Plan if the Supplier fails to meet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any</w:t>
      </w:r>
      <w:r w:rsidDel="00000000" w:rsidR="00000000" w:rsidRPr="00000000">
        <w:rPr>
          <w:rFonts w:ascii="Arial" w:cs="Arial" w:eastAsia="Arial" w:hAnsi="Arial"/>
          <w:sz w:val="24"/>
          <w:szCs w:val="24"/>
          <w:highlight w:val="white"/>
          <w:rtl w:val="0"/>
        </w:rPr>
        <w:t xml:space="preserv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of the 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ervice Levels (“Default”) within Section 1 (Service Levels) in any 12-Month rolling period.</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18"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w:t>
        <w:tab/>
        <w:t xml:space="preserve">This Rectification Plan must clearly detail the improvements and associated timeframes within which the Supplier shall meet and achieve the Service Levels. The Rectification Plan must be provided in accordance with Clause 10.3 of the Core Terms and any failure to correct a Default in line with an accepted Rectification Plan, or failure to provide a Rectification Plan within 10 days of the request may result in the Buyer exercising its right to terminate the Contract in accordance with Clause 10.4 of the Core Terms.</w:t>
      </w:r>
    </w:p>
    <w:p w:rsidR="00000000" w:rsidDel="00000000" w:rsidP="00000000" w:rsidRDefault="00000000" w:rsidRPr="00000000" w14:paraId="0000002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to Part A: Services Levels Table</w:t>
      </w:r>
      <w:r w:rsidDel="00000000" w:rsidR="00000000" w:rsidRPr="00000000">
        <w:rPr>
          <w:rtl w:val="0"/>
        </w:rPr>
      </w:r>
    </w:p>
    <w:p w:rsidR="00000000" w:rsidDel="00000000" w:rsidP="00000000" w:rsidRDefault="00000000" w:rsidRPr="00000000" w14:paraId="00000028">
      <w:pPr>
        <w:rPr>
          <w:rFonts w:ascii="Arial" w:cs="Arial" w:eastAsia="Arial" w:hAnsi="Arial"/>
          <w:color w:val="ff0000"/>
          <w:sz w:val="24"/>
          <w:szCs w:val="24"/>
        </w:rPr>
      </w:pPr>
      <w:r w:rsidDel="00000000" w:rsidR="00000000" w:rsidRPr="00000000">
        <w:rPr>
          <w:rFonts w:ascii="Arial" w:cs="Arial" w:eastAsia="Arial" w:hAnsi="Arial"/>
          <w:color w:val="ff0000"/>
          <w:sz w:val="24"/>
          <w:szCs w:val="24"/>
          <w:rtl w:val="0"/>
        </w:rPr>
        <w:t xml:space="preserve">REDACTED TEXT</w:t>
      </w:r>
    </w:p>
    <w:p w:rsidR="00000000" w:rsidDel="00000000" w:rsidP="00000000" w:rsidRDefault="00000000" w:rsidRPr="00000000" w14:paraId="00000029">
      <w:pPr>
        <w:rPr>
          <w:rFonts w:ascii="Arial" w:cs="Arial" w:eastAsia="Arial" w:hAnsi="Arial"/>
          <w:color w:val="ff0000"/>
          <w:sz w:val="24"/>
          <w:szCs w:val="24"/>
        </w:rPr>
      </w:pPr>
      <w:r w:rsidDel="00000000" w:rsidR="00000000" w:rsidRPr="00000000">
        <w:rPr>
          <w:rFonts w:ascii="Arial" w:cs="Arial" w:eastAsia="Arial" w:hAnsi="Arial"/>
          <w:color w:val="ff0000"/>
          <w:sz w:val="24"/>
          <w:szCs w:val="24"/>
          <w:rtl w:val="0"/>
        </w:rPr>
        <w:t xml:space="preserve">under FOIA Section 43 Commercial Interests.</w:t>
      </w:r>
      <w:r w:rsidDel="00000000" w:rsidR="00000000" w:rsidRPr="00000000">
        <w:rPr>
          <w:rtl w:val="0"/>
        </w:rPr>
      </w:r>
    </w:p>
    <w:tbl>
      <w:tblPr>
        <w:tblStyle w:val="Table2"/>
        <w:tblW w:w="85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6"/>
        <w:gridCol w:w="1418"/>
        <w:gridCol w:w="994"/>
        <w:gridCol w:w="646"/>
        <w:gridCol w:w="61"/>
        <w:gridCol w:w="1417"/>
        <w:gridCol w:w="2273"/>
        <w:tblGridChange w:id="0">
          <w:tblGrid>
            <w:gridCol w:w="1696"/>
            <w:gridCol w:w="1418"/>
            <w:gridCol w:w="994"/>
            <w:gridCol w:w="646"/>
            <w:gridCol w:w="61"/>
            <w:gridCol w:w="1417"/>
            <w:gridCol w:w="2273"/>
          </w:tblGrid>
        </w:tblGridChange>
      </w:tblGrid>
      <w:tr>
        <w:trPr>
          <w:cantSplit w:val="0"/>
          <w:trHeight w:val="324" w:hRule="atLeast"/>
          <w:tblHeader w:val="0"/>
        </w:trPr>
        <w:tc>
          <w:tcPr>
            <w:gridSpan w:val="3"/>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2A">
            <w:pPr>
              <w:ind w:left="0" w:firstLine="0"/>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2D">
            <w:pPr>
              <w:ind w:left="211" w:firstLine="0"/>
              <w:rPr>
                <w:rFonts w:ascii="Arial" w:cs="Arial" w:eastAsia="Arial" w:hAnsi="Arial"/>
                <w:sz w:val="24"/>
                <w:szCs w:val="24"/>
              </w:rPr>
            </w:pP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3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3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3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3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3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3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3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 and</w:t>
      </w:r>
    </w:p>
    <w:p w:rsidR="00000000" w:rsidDel="00000000" w:rsidP="00000000" w:rsidRDefault="00000000" w:rsidRPr="00000000" w14:paraId="0000003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3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3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format and time (within normal business hours) as the Buyer shall reasonably require;</w:t>
      </w:r>
    </w:p>
    <w:p w:rsidR="00000000" w:rsidDel="00000000" w:rsidP="00000000" w:rsidRDefault="00000000" w:rsidRPr="00000000" w14:paraId="0000003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3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3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3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for any specified Service Period.</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4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4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985" w:right="0" w:hanging="1985"/>
        <w:jc w:val="left"/>
        <w:rPr>
          <w:rFonts w:ascii="Arial" w:cs="Arial" w:eastAsia="Arial" w:hAnsi="Arial"/>
          <w:b w:val="1"/>
          <w:i w:val="0"/>
          <w:smallCaps w:val="0"/>
          <w:strike w:val="0"/>
          <w:color w:val="000000"/>
          <w:sz w:val="28"/>
          <w:szCs w:val="28"/>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SECTION 2 </w:t>
        <w:tab/>
        <w:t xml:space="preserve">BALANCED SCORECARD</w:t>
      </w:r>
    </w:p>
    <w:p w:rsidR="00000000" w:rsidDel="00000000" w:rsidP="00000000" w:rsidRDefault="00000000" w:rsidRPr="00000000" w14:paraId="0000004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 </w:t>
        <w:tab/>
        <w:t xml:space="preserve">As an alternative to or in addition to Service Levels (under Section 1 above) and the Supplier’s performance management obligations under the Framework Contract, the Buyer and Supplier may agree to follow the Balanced Scorecard and key performance indicators (“KPIs”) for a Call-Off Contract and one or more of its Statements of Work.</w:t>
      </w:r>
    </w:p>
    <w:p w:rsidR="00000000" w:rsidDel="00000000" w:rsidP="00000000" w:rsidRDefault="00000000" w:rsidRPr="00000000" w14:paraId="0000004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drawing>
          <wp:inline distB="0" distT="0" distL="0" distR="0">
            <wp:extent cx="6151245" cy="4755515"/>
            <wp:effectExtent b="0" l="0" r="0" t="0"/>
            <wp:docPr id="2"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6151245" cy="4755515"/>
                    </a:xfrm>
                    <a:prstGeom prst="rect"/>
                    <a:ln/>
                  </pic:spPr>
                </pic:pic>
              </a:graphicData>
            </a:graphic>
          </wp:inline>
        </w:drawing>
      </w:r>
      <w:r w:rsidDel="00000000" w:rsidR="00000000" w:rsidRPr="00000000">
        <w:rPr>
          <w:rtl w:val="0"/>
        </w:rPr>
      </w:r>
    </w:p>
    <w:p w:rsidR="00000000" w:rsidDel="00000000" w:rsidP="00000000" w:rsidRDefault="00000000" w:rsidRPr="00000000" w14:paraId="0000004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purpose of the Balanced Scorecard is to promote contract management activity through measurement of the Supplier’s performance against KPIs.  The Buyer and Supplier shall agree the content of the Scorecard before the Call-Off Contract Start Date including the Material KPIs as defined in Framework Schedule 4 (Framework Management).  Targets and measures to be listed in the Scorecard (example above for guidance only) should be tailored to meet the Buyer’s needs and the Supplier’s competences.</w:t>
      </w:r>
    </w:p>
    <w:p w:rsidR="00000000" w:rsidDel="00000000" w:rsidP="00000000" w:rsidRDefault="00000000" w:rsidRPr="00000000" w14:paraId="00000048">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recommended process for using the Balanced Scorecard is as follows:</w:t>
      </w:r>
    </w:p>
    <w:p w:rsidR="00000000" w:rsidDel="00000000" w:rsidP="00000000" w:rsidRDefault="00000000" w:rsidRPr="00000000" w14:paraId="00000049">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0" w:line="240" w:lineRule="auto"/>
        <w:ind w:left="1134" w:right="0" w:hanging="5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Supplier agree a template Balanced Scorecard together with a performance management plan which clearly outlines the responsibilities and actions that will be taken if agreed performance levels are not achieved.</w:t>
      </w:r>
    </w:p>
    <w:p w:rsidR="00000000" w:rsidDel="00000000" w:rsidP="00000000" w:rsidRDefault="00000000" w:rsidRPr="00000000" w14:paraId="0000004A">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0" w:line="240" w:lineRule="auto"/>
        <w:ind w:left="1134" w:right="0" w:hanging="5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pre-agreed schedule (for example, Monthly) both the Buyer and the Supplier provide a rating on the Supplier’s performance</w:t>
      </w:r>
    </w:p>
    <w:p w:rsidR="00000000" w:rsidDel="00000000" w:rsidP="00000000" w:rsidRDefault="00000000" w:rsidRPr="00000000" w14:paraId="0000004B">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0" w:line="240" w:lineRule="auto"/>
        <w:ind w:left="1134" w:right="0" w:hanging="5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initial rating, both Parties meet to review the scores and agree an overall final score for each KPI</w:t>
      </w:r>
    </w:p>
    <w:p w:rsidR="00000000" w:rsidDel="00000000" w:rsidP="00000000" w:rsidRDefault="00000000" w:rsidRPr="00000000" w14:paraId="0000004C">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0" w:line="240" w:lineRule="auto"/>
        <w:ind w:left="1134" w:right="0" w:hanging="5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agreement of final scores, the process is repeating as per the agreed schedule</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 Buyer redress for failure to provide Services at or above Service Levels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18" w:right="0" w:hanging="77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t>
        <w:tab/>
        <w:t xml:space="preserve">The Buyer may ask for a Rectification Plan if the Supplier:</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2.1.1</w:t>
        <w:tab/>
        <w:t xml:space="preserve">fails to meet </w:t>
      </w:r>
      <w:r w:rsidDel="00000000" w:rsidR="00000000" w:rsidRPr="00000000">
        <w:rPr>
          <w:rFonts w:ascii="Arial" w:cs="Arial" w:eastAsia="Arial" w:hAnsi="Arial"/>
          <w:sz w:val="24"/>
          <w:szCs w:val="24"/>
          <w:rtl w:val="0"/>
        </w:rPr>
        <w:t xml:space="preserve">any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key performance indicators (“KPIs”) listed within Section 2 (Balanced Scorecard) (“a Default”) on at least [3] occasions within a 12-Month rolling period</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127" w:right="0" w:hanging="709"/>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2.1.2</w:t>
        <w:tab/>
        <w:t xml:space="preserve">demonstrates poor performance of a Call-Off Contract or any Statement of Work, evidenced through Buyer feedback to CCS that the Supplier has sco</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red a ‘red’ status on any one of the </w:t>
      </w:r>
      <w:r w:rsidDel="00000000" w:rsidR="00000000" w:rsidRPr="00000000">
        <w:rPr>
          <w:rFonts w:ascii="Arial" w:cs="Arial" w:eastAsia="Arial" w:hAnsi="Arial"/>
          <w:sz w:val="24"/>
          <w:szCs w:val="24"/>
          <w:highlight w:val="white"/>
          <w:rtl w:val="0"/>
        </w:rPr>
        <w:t xml:space="preserve">8</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KPI targets listed on the Balanced Scorecard, on at least 2</w:t>
      </w:r>
      <w:r w:rsidDel="00000000" w:rsidR="00000000" w:rsidRPr="00000000">
        <w:rPr>
          <w:rFonts w:ascii="Arial" w:cs="Arial" w:eastAsia="Arial" w:hAnsi="Arial"/>
          <w:sz w:val="24"/>
          <w:szCs w:val="24"/>
          <w:highlight w:val="white"/>
          <w:rtl w:val="0"/>
        </w:rPr>
        <w:t xml:space="preserv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occasions within a Statement of Work duration, or within a period of 3 Months (whichever is the earlier)</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18"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w:t>
        <w:tab/>
        <w:tab/>
        <w:t xml:space="preserve">This Rectification Plan must clearly detail the improvements and associated timeframes within which the Supplier shall meet and achieve the KPI targets. The Rectification Plan must be provided in accordance with Clause 10.3 of the Core Terms and any failure to correct a Default in line with an accepted Rectification Plan, or failure to provide a Rectification Plan within 10 days of the request may result in the Buyer exercising its right to terminate the Contract in accordance with Clause 10.4 of the Core Terms.</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 </w:t>
        <w:tab/>
        <w:t xml:space="preserve">Performance Monitoring and Performance Review</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18" w:right="0" w:hanging="6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w:t>
        <w:tab/>
        <w:t xml:space="preserve">Within twenty (20) Working Days of the Start Date the Supplier shall provide the Buyer with details of how the process in respect of the monitoring and reporting of KPIs in the Balanced Scorecard will operate between the Parties and the Parties will endeavour to agree such process as soon as reasonably possible.</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18"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which shall contain, as a minimum, the following information in respect of the relevant KPIs just ended:</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for each KPI, the actual performance achieved over the relevant period;</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a summary of all failures to achieve KPIs that occurred during that period;</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details of any failures of KPIs across one or more SOW;</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3.2.4</w:t>
        <w:tab/>
        <w:t xml:space="preserve">for any repeat failures, actions taken to resolve the underlying cause and prevent recurrence; and</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3.2.5</w:t>
        <w:tab/>
        <w:t xml:space="preserve">such other details as the Buyer may reasonably require from time to time.</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18"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3.3</w:t>
        <w:tab/>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3.3.1</w:t>
        <w:tab/>
        <w:t xml:space="preserve">take place within one (1) week of the Performance Monitoring Reports being issued by the Supplier at such location, format and time (within normal business hours) as the Buyer shall reasonably require;</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3.3.2</w:t>
        <w:tab/>
        <w:t xml:space="preserve">be attended by the Supplier's Representative and the Buyer’s Representative; and</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3.3.3</w:t>
        <w:tab/>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18"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w:t>
        <w:tab/>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18"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3.5</w:t>
        <w:tab/>
        <w:t xml:space="preserve">The Supplier shall provide to the Buyer such documentation as the Buyer may reasonably require in order to verify the level of the performance by the Supplier for any specified period.</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w:t>
    </w:r>
    <w:r w:rsidDel="00000000" w:rsidR="00000000" w:rsidRPr="00000000">
      <w:rPr>
        <w:rFonts w:ascii="Arial" w:cs="Arial" w:eastAsia="Arial" w:hAnsi="Arial"/>
        <w:sz w:val="20"/>
        <w:szCs w:val="20"/>
        <w:rtl w:val="0"/>
      </w:rPr>
      <w:t xml:space="preserve">63</w:t>
    </w: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14B (Service Levels and Balanced Scorecard)</w:t>
    </w: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1.png"/><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pG73hZAHJAO2O350zqbGUfAxUA==">CgMxLjAyCGguZ2pkZ3hzMgloLjMwajB6bGw4AHIhMVpNLVFQR3Zha1M2S1JoY1I5NjRsY0tOU1g0QW1kb2E5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